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3E769" w14:textId="77777777" w:rsidR="006D3F52" w:rsidRPr="00CD239A" w:rsidRDefault="006D3F52">
      <w:pPr>
        <w:widowControl w:val="0"/>
        <w:pBdr>
          <w:top w:val="nil"/>
          <w:left w:val="nil"/>
          <w:bottom w:val="nil"/>
          <w:right w:val="nil"/>
          <w:between w:val="nil"/>
        </w:pBdr>
        <w:spacing w:after="0"/>
        <w:rPr>
          <w:rFonts w:ascii="Arial" w:hAnsi="Arial" w:cs="Arial"/>
        </w:rPr>
      </w:pPr>
    </w:p>
    <w:p w14:paraId="2A714A23" w14:textId="77777777" w:rsidR="006D3F52" w:rsidRPr="00CD239A" w:rsidRDefault="006E2B47">
      <w:pPr>
        <w:rPr>
          <w:rFonts w:ascii="Arial" w:eastAsia="Arial" w:hAnsi="Arial" w:cs="Arial"/>
          <w:b/>
          <w:sz w:val="36"/>
          <w:szCs w:val="36"/>
        </w:rPr>
      </w:pPr>
      <w:bookmarkStart w:id="0" w:name="_heading=h.1fob9te" w:colFirst="0" w:colLast="0"/>
      <w:bookmarkEnd w:id="0"/>
      <w:r w:rsidRPr="00CD239A">
        <w:rPr>
          <w:rFonts w:ascii="Arial" w:eastAsia="Arial" w:hAnsi="Arial" w:cs="Arial"/>
          <w:b/>
          <w:sz w:val="36"/>
          <w:szCs w:val="36"/>
        </w:rPr>
        <w:t>Joint Schedule 12 (Supply Chain Visibility)</w:t>
      </w:r>
    </w:p>
    <w:p w14:paraId="5735F3E2" w14:textId="77777777" w:rsidR="006D3F52" w:rsidRPr="00CD239A" w:rsidRDefault="006E2B47" w:rsidP="00940F45">
      <w:pPr>
        <w:numPr>
          <w:ilvl w:val="0"/>
          <w:numId w:val="2"/>
        </w:numPr>
        <w:pBdr>
          <w:top w:val="nil"/>
          <w:left w:val="nil"/>
          <w:bottom w:val="nil"/>
          <w:right w:val="nil"/>
          <w:between w:val="nil"/>
        </w:pBdr>
        <w:spacing w:after="0"/>
        <w:ind w:left="567" w:hanging="567"/>
        <w:rPr>
          <w:rFonts w:ascii="Arial" w:eastAsia="Arial" w:hAnsi="Arial" w:cs="Arial"/>
          <w:b/>
          <w:color w:val="000000"/>
          <w:sz w:val="24"/>
          <w:szCs w:val="24"/>
        </w:rPr>
      </w:pPr>
      <w:r w:rsidRPr="00CD239A">
        <w:rPr>
          <w:rFonts w:ascii="Arial" w:eastAsia="Arial" w:hAnsi="Arial" w:cs="Arial"/>
          <w:b/>
          <w:color w:val="000000"/>
          <w:sz w:val="24"/>
          <w:szCs w:val="24"/>
        </w:rPr>
        <w:t xml:space="preserve">Definitions </w:t>
      </w:r>
    </w:p>
    <w:p w14:paraId="4BDA16C4" w14:textId="77777777"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14:paraId="08A84C1A" w14:textId="4F925FD6" w:rsidR="006D3F52" w:rsidRPr="00CD239A" w:rsidRDefault="006E2B47" w:rsidP="00FC7FAD">
      <w:pPr>
        <w:pBdr>
          <w:top w:val="nil"/>
          <w:left w:val="nil"/>
          <w:bottom w:val="nil"/>
          <w:right w:val="nil"/>
          <w:between w:val="nil"/>
        </w:pBdr>
        <w:ind w:left="426" w:hanging="426"/>
        <w:rPr>
          <w:rFonts w:ascii="Arial" w:eastAsia="Arial" w:hAnsi="Arial" w:cs="Arial"/>
          <w:color w:val="000000"/>
          <w:sz w:val="24"/>
          <w:szCs w:val="24"/>
        </w:rPr>
      </w:pPr>
      <w:r w:rsidRPr="00CD239A">
        <w:rPr>
          <w:rFonts w:ascii="Arial" w:eastAsia="Arial" w:hAnsi="Arial" w:cs="Arial"/>
          <w:color w:val="000000"/>
          <w:sz w:val="24"/>
          <w:szCs w:val="24"/>
        </w:rPr>
        <w:t>1.1</w:t>
      </w:r>
      <w:r w:rsidRPr="00CD239A">
        <w:rPr>
          <w:rFonts w:ascii="Arial" w:eastAsia="Arial" w:hAnsi="Arial" w:cs="Arial"/>
          <w:b/>
          <w:color w:val="000000"/>
          <w:sz w:val="24"/>
          <w:szCs w:val="24"/>
        </w:rPr>
        <w:t xml:space="preserve"> </w:t>
      </w:r>
      <w:r w:rsidRPr="00CD239A">
        <w:rPr>
          <w:rFonts w:ascii="Arial" w:eastAsia="Arial" w:hAnsi="Arial" w:cs="Arial"/>
          <w:color w:val="000000"/>
          <w:sz w:val="24"/>
          <w:szCs w:val="24"/>
        </w:rPr>
        <w:t>In this Schedule, the following words shall have the following meanings and they shall supplement Joint Schedule 1 (Definitions)</w:t>
      </w:r>
      <w:r w:rsidR="00586F01">
        <w:rPr>
          <w:rFonts w:ascii="Arial" w:eastAsia="Arial" w:hAnsi="Arial" w:cs="Arial"/>
          <w:color w:val="000000"/>
          <w:sz w:val="24"/>
          <w:szCs w:val="24"/>
        </w:rPr>
        <w:t>:</w:t>
      </w:r>
    </w:p>
    <w:tbl>
      <w:tblPr>
        <w:tblStyle w:val="a1"/>
        <w:tblW w:w="8413" w:type="dxa"/>
        <w:tblInd w:w="421" w:type="dxa"/>
        <w:tblBorders>
          <w:top w:val="nil"/>
          <w:left w:val="nil"/>
          <w:bottom w:val="nil"/>
          <w:right w:val="nil"/>
          <w:insideH w:val="nil"/>
          <w:insideV w:val="nil"/>
        </w:tblBorders>
        <w:tblLayout w:type="fixed"/>
        <w:tblLook w:val="0400" w:firstRow="0" w:lastRow="0" w:firstColumn="0" w:lastColumn="0" w:noHBand="0" w:noVBand="1"/>
      </w:tblPr>
      <w:tblGrid>
        <w:gridCol w:w="3557"/>
        <w:gridCol w:w="4856"/>
      </w:tblGrid>
      <w:tr w:rsidR="006D3F52" w:rsidRPr="00CD239A" w14:paraId="6D4BEFCA" w14:textId="77777777" w:rsidTr="00FC7FAD">
        <w:trPr>
          <w:trHeight w:val="20"/>
        </w:trPr>
        <w:tc>
          <w:tcPr>
            <w:tcW w:w="3557" w:type="dxa"/>
            <w:tcBorders>
              <w:top w:val="single" w:sz="4" w:space="0" w:color="000000"/>
              <w:left w:val="single" w:sz="4" w:space="0" w:color="000000"/>
              <w:bottom w:val="single" w:sz="4" w:space="0" w:color="000000"/>
              <w:right w:val="single" w:sz="4" w:space="0" w:color="000000"/>
            </w:tcBorders>
          </w:tcPr>
          <w:p w14:paraId="3B7C2E54"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"Contracts Finder"</w:t>
            </w:r>
          </w:p>
        </w:tc>
        <w:tc>
          <w:tcPr>
            <w:tcW w:w="4856" w:type="dxa"/>
            <w:tcBorders>
              <w:top w:val="single" w:sz="4" w:space="0" w:color="000000"/>
              <w:left w:val="single" w:sz="4" w:space="0" w:color="000000"/>
              <w:bottom w:val="single" w:sz="4" w:space="0" w:color="000000"/>
              <w:right w:val="single" w:sz="4" w:space="0" w:color="000000"/>
            </w:tcBorders>
          </w:tcPr>
          <w:p w14:paraId="260A1ECA"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the Government’s publishing portal for public sector procurement opportunities; </w:t>
            </w:r>
          </w:p>
        </w:tc>
      </w:tr>
      <w:tr w:rsidR="006D3F52" w:rsidRPr="00CD239A" w14:paraId="277743B9" w14:textId="77777777" w:rsidTr="00FC7FAD">
        <w:trPr>
          <w:trHeight w:val="20"/>
        </w:trPr>
        <w:tc>
          <w:tcPr>
            <w:tcW w:w="3557" w:type="dxa"/>
            <w:tcBorders>
              <w:top w:val="single" w:sz="4" w:space="0" w:color="000000"/>
              <w:left w:val="single" w:sz="4" w:space="0" w:color="000000"/>
              <w:bottom w:val="single" w:sz="4" w:space="0" w:color="000000"/>
              <w:right w:val="single" w:sz="4" w:space="0" w:color="000000"/>
            </w:tcBorders>
          </w:tcPr>
          <w:p w14:paraId="153B125E"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bookmarkStart w:id="1" w:name="_heading=h.30j0zll" w:colFirst="0" w:colLast="0"/>
            <w:bookmarkEnd w:id="1"/>
            <w:r w:rsidRPr="00CD239A">
              <w:rPr>
                <w:rFonts w:ascii="Arial" w:eastAsia="Arial" w:hAnsi="Arial" w:cs="Arial"/>
                <w:b/>
                <w:color w:val="000000"/>
                <w:sz w:val="24"/>
                <w:szCs w:val="24"/>
              </w:rPr>
              <w:t>"SME"</w:t>
            </w:r>
          </w:p>
        </w:tc>
        <w:tc>
          <w:tcPr>
            <w:tcW w:w="4856" w:type="dxa"/>
            <w:tcBorders>
              <w:top w:val="single" w:sz="4" w:space="0" w:color="000000"/>
              <w:left w:val="single" w:sz="4" w:space="0" w:color="000000"/>
              <w:bottom w:val="single" w:sz="4" w:space="0" w:color="000000"/>
              <w:right w:val="single" w:sz="4" w:space="0" w:color="000000"/>
            </w:tcBorders>
          </w:tcPr>
          <w:p w14:paraId="163C6EE7"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6D3F52" w:rsidRPr="00CD239A" w14:paraId="3DEC2EA3" w14:textId="77777777" w:rsidTr="00FC7FAD">
        <w:trPr>
          <w:trHeight w:val="20"/>
        </w:trPr>
        <w:tc>
          <w:tcPr>
            <w:tcW w:w="3557" w:type="dxa"/>
            <w:tcBorders>
              <w:top w:val="single" w:sz="4" w:space="0" w:color="000000"/>
              <w:left w:val="single" w:sz="4" w:space="0" w:color="000000"/>
              <w:bottom w:val="single" w:sz="4" w:space="0" w:color="000000"/>
              <w:right w:val="single" w:sz="4" w:space="0" w:color="000000"/>
            </w:tcBorders>
          </w:tcPr>
          <w:p w14:paraId="256DE5B4"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“Supply Chain Information Report Template”</w:t>
            </w:r>
          </w:p>
        </w:tc>
        <w:tc>
          <w:tcPr>
            <w:tcW w:w="4856" w:type="dxa"/>
            <w:tcBorders>
              <w:top w:val="single" w:sz="4" w:space="0" w:color="000000"/>
              <w:left w:val="single" w:sz="4" w:space="0" w:color="000000"/>
              <w:bottom w:val="single" w:sz="4" w:space="0" w:color="000000"/>
              <w:right w:val="single" w:sz="4" w:space="0" w:color="000000"/>
            </w:tcBorders>
          </w:tcPr>
          <w:p w14:paraId="0411E789"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bookmarkStart w:id="2" w:name="_heading=h.gjdgxs" w:colFirst="0" w:colLast="0"/>
            <w:bookmarkEnd w:id="2"/>
            <w:r w:rsidRPr="00CD239A">
              <w:rPr>
                <w:rFonts w:ascii="Arial" w:eastAsia="Arial" w:hAnsi="Arial" w:cs="Arial"/>
                <w:color w:val="000000"/>
                <w:sz w:val="24"/>
                <w:szCs w:val="24"/>
              </w:rPr>
              <w:t>the document at Annex 1 of this Schedule 12; and</w:t>
            </w:r>
          </w:p>
        </w:tc>
      </w:tr>
      <w:tr w:rsidR="006D3F52" w:rsidRPr="00CD239A" w14:paraId="74FB498A" w14:textId="77777777" w:rsidTr="00FC7FAD">
        <w:trPr>
          <w:trHeight w:val="20"/>
        </w:trPr>
        <w:tc>
          <w:tcPr>
            <w:tcW w:w="3557" w:type="dxa"/>
            <w:tcBorders>
              <w:top w:val="single" w:sz="4" w:space="0" w:color="000000"/>
              <w:left w:val="single" w:sz="4" w:space="0" w:color="000000"/>
              <w:bottom w:val="single" w:sz="4" w:space="0" w:color="000000"/>
              <w:right w:val="single" w:sz="4" w:space="0" w:color="000000"/>
            </w:tcBorders>
          </w:tcPr>
          <w:p w14:paraId="28C60213"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"VCSE"</w:t>
            </w:r>
          </w:p>
        </w:tc>
        <w:tc>
          <w:tcPr>
            <w:tcW w:w="4856" w:type="dxa"/>
            <w:tcBorders>
              <w:top w:val="single" w:sz="4" w:space="0" w:color="000000"/>
              <w:left w:val="single" w:sz="4" w:space="0" w:color="000000"/>
              <w:bottom w:val="single" w:sz="4" w:space="0" w:color="000000"/>
              <w:right w:val="single" w:sz="4" w:space="0" w:color="000000"/>
            </w:tcBorders>
          </w:tcPr>
          <w:p w14:paraId="4F4A6B18"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D3F52" w:rsidRPr="00CD239A" w14:paraId="02C7E592" w14:textId="77777777" w:rsidTr="00FC7FAD">
        <w:trPr>
          <w:trHeight w:val="20"/>
        </w:trPr>
        <w:tc>
          <w:tcPr>
            <w:tcW w:w="3557" w:type="dxa"/>
            <w:tcBorders>
              <w:top w:val="single" w:sz="4" w:space="0" w:color="000000"/>
            </w:tcBorders>
          </w:tcPr>
          <w:p w14:paraId="67411A75" w14:textId="77777777"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Borders>
              <w:top w:val="single" w:sz="4" w:space="0" w:color="000000"/>
            </w:tcBorders>
          </w:tcPr>
          <w:p w14:paraId="47A0E6ED" w14:textId="77777777"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49BED2DA" w14:textId="77777777" w:rsidR="006D3F52" w:rsidRPr="00CD239A" w:rsidRDefault="006E2B47" w:rsidP="003061D4">
      <w:pPr>
        <w:numPr>
          <w:ilvl w:val="0"/>
          <w:numId w:val="2"/>
        </w:numPr>
        <w:pBdr>
          <w:top w:val="nil"/>
          <w:left w:val="nil"/>
          <w:bottom w:val="nil"/>
          <w:right w:val="nil"/>
          <w:between w:val="nil"/>
        </w:pBdr>
        <w:spacing w:after="0"/>
        <w:ind w:left="567" w:hanging="567"/>
        <w:rPr>
          <w:rFonts w:ascii="Arial" w:eastAsia="Arial" w:hAnsi="Arial" w:cs="Arial"/>
          <w:b/>
          <w:color w:val="000000"/>
          <w:sz w:val="24"/>
          <w:szCs w:val="24"/>
        </w:rPr>
      </w:pPr>
      <w:r w:rsidRPr="00CD239A">
        <w:rPr>
          <w:rFonts w:ascii="Arial" w:eastAsia="Arial" w:hAnsi="Arial" w:cs="Arial"/>
          <w:b/>
          <w:color w:val="000000"/>
          <w:sz w:val="24"/>
          <w:szCs w:val="24"/>
        </w:rPr>
        <w:t xml:space="preserve">Visibility of Sub-Contract Opportunities in the Supply Chain </w:t>
      </w:r>
    </w:p>
    <w:p w14:paraId="38ABD39C" w14:textId="77777777" w:rsidR="006D3F52" w:rsidRPr="00CD239A" w:rsidRDefault="006D3F52" w:rsidP="003061D4">
      <w:pPr>
        <w:pBdr>
          <w:top w:val="nil"/>
          <w:left w:val="nil"/>
          <w:bottom w:val="nil"/>
          <w:right w:val="nil"/>
          <w:between w:val="nil"/>
        </w:pBdr>
        <w:spacing w:after="0"/>
        <w:ind w:left="567" w:hanging="567"/>
        <w:rPr>
          <w:rFonts w:ascii="Arial" w:eastAsia="Arial" w:hAnsi="Arial" w:cs="Arial"/>
          <w:b/>
          <w:color w:val="000000"/>
          <w:sz w:val="24"/>
          <w:szCs w:val="24"/>
        </w:rPr>
      </w:pPr>
    </w:p>
    <w:p w14:paraId="32E1CD0E" w14:textId="77777777" w:rsidR="006D3F52" w:rsidRPr="00CD239A" w:rsidRDefault="006E2B47" w:rsidP="00FC7FAD">
      <w:pPr>
        <w:numPr>
          <w:ilvl w:val="1"/>
          <w:numId w:val="2"/>
        </w:numPr>
        <w:pBdr>
          <w:top w:val="nil"/>
          <w:left w:val="nil"/>
          <w:bottom w:val="nil"/>
          <w:right w:val="nil"/>
          <w:between w:val="nil"/>
        </w:pBdr>
        <w:spacing w:after="0"/>
        <w:ind w:left="426" w:hanging="426"/>
        <w:rPr>
          <w:rFonts w:ascii="Arial" w:eastAsia="Arial" w:hAnsi="Arial" w:cs="Arial"/>
          <w:color w:val="000000"/>
          <w:sz w:val="24"/>
          <w:szCs w:val="24"/>
        </w:rPr>
      </w:pPr>
      <w:r w:rsidRPr="00CD239A">
        <w:rPr>
          <w:rFonts w:ascii="Arial" w:eastAsia="Arial" w:hAnsi="Arial" w:cs="Arial"/>
          <w:color w:val="000000"/>
          <w:sz w:val="24"/>
          <w:szCs w:val="24"/>
        </w:rPr>
        <w:t xml:space="preserve"> The Supplier shall:</w:t>
      </w:r>
    </w:p>
    <w:p w14:paraId="1B847392"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43526794" w14:textId="77777777" w:rsidR="006D3F52" w:rsidRPr="00CD239A" w:rsidRDefault="006E2B47" w:rsidP="003061D4">
      <w:pPr>
        <w:numPr>
          <w:ilvl w:val="2"/>
          <w:numId w:val="2"/>
        </w:numPr>
        <w:pBdr>
          <w:top w:val="nil"/>
          <w:left w:val="nil"/>
          <w:bottom w:val="nil"/>
          <w:right w:val="nil"/>
          <w:between w:val="nil"/>
        </w:pBdr>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14:paraId="4B5C73CE" w14:textId="77777777" w:rsidR="006D3F52" w:rsidRPr="00CD239A" w:rsidRDefault="006D3F52" w:rsidP="003061D4">
      <w:pPr>
        <w:pBdr>
          <w:top w:val="nil"/>
          <w:left w:val="nil"/>
          <w:bottom w:val="nil"/>
          <w:right w:val="nil"/>
          <w:between w:val="nil"/>
        </w:pBdr>
        <w:spacing w:after="0"/>
        <w:ind w:left="1418" w:hanging="851"/>
        <w:rPr>
          <w:rFonts w:ascii="Arial" w:eastAsia="Arial" w:hAnsi="Arial" w:cs="Arial"/>
          <w:sz w:val="24"/>
          <w:szCs w:val="24"/>
        </w:rPr>
      </w:pPr>
    </w:p>
    <w:p w14:paraId="34D373EA" w14:textId="77777777" w:rsidR="006D3F52" w:rsidRPr="00CD239A" w:rsidRDefault="006E2B47" w:rsidP="003061D4">
      <w:pPr>
        <w:numPr>
          <w:ilvl w:val="2"/>
          <w:numId w:val="2"/>
        </w:numPr>
        <w:pBdr>
          <w:top w:val="nil"/>
          <w:left w:val="nil"/>
          <w:bottom w:val="nil"/>
          <w:right w:val="nil"/>
          <w:between w:val="nil"/>
        </w:pBdr>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14:paraId="2F1295D3" w14:textId="77777777" w:rsidR="006D3F52" w:rsidRPr="00CD239A" w:rsidRDefault="006D3F52" w:rsidP="003061D4">
      <w:pPr>
        <w:pBdr>
          <w:top w:val="nil"/>
          <w:left w:val="nil"/>
          <w:bottom w:val="nil"/>
          <w:right w:val="nil"/>
          <w:between w:val="nil"/>
        </w:pBdr>
        <w:spacing w:after="0"/>
        <w:ind w:left="1418" w:hanging="851"/>
        <w:rPr>
          <w:rFonts w:ascii="Arial" w:eastAsia="Arial" w:hAnsi="Arial" w:cs="Arial"/>
          <w:sz w:val="24"/>
          <w:szCs w:val="24"/>
        </w:rPr>
      </w:pPr>
    </w:p>
    <w:p w14:paraId="770A93DE" w14:textId="77777777" w:rsidR="006D3F52" w:rsidRPr="00CD239A" w:rsidRDefault="006E2B47" w:rsidP="003061D4">
      <w:pPr>
        <w:numPr>
          <w:ilvl w:val="2"/>
          <w:numId w:val="2"/>
        </w:numPr>
        <w:pBdr>
          <w:top w:val="nil"/>
          <w:left w:val="nil"/>
          <w:bottom w:val="nil"/>
          <w:right w:val="nil"/>
          <w:between w:val="nil"/>
        </w:pBdr>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14:paraId="6BD7B224" w14:textId="77777777" w:rsidR="006D3F52" w:rsidRPr="00CD239A" w:rsidRDefault="006D3F52" w:rsidP="003061D4">
      <w:pPr>
        <w:pBdr>
          <w:top w:val="nil"/>
          <w:left w:val="nil"/>
          <w:bottom w:val="nil"/>
          <w:right w:val="nil"/>
          <w:between w:val="nil"/>
        </w:pBdr>
        <w:spacing w:after="0"/>
        <w:ind w:left="1418" w:hanging="851"/>
        <w:rPr>
          <w:rFonts w:ascii="Arial" w:eastAsia="Arial" w:hAnsi="Arial" w:cs="Arial"/>
          <w:sz w:val="24"/>
          <w:szCs w:val="24"/>
        </w:rPr>
      </w:pPr>
    </w:p>
    <w:p w14:paraId="4CDA1114" w14:textId="77777777" w:rsidR="006D3F52" w:rsidRPr="00CD239A" w:rsidRDefault="006E2B47" w:rsidP="0089755F">
      <w:pPr>
        <w:numPr>
          <w:ilvl w:val="2"/>
          <w:numId w:val="2"/>
        </w:numPr>
        <w:pBdr>
          <w:top w:val="nil"/>
          <w:left w:val="nil"/>
          <w:bottom w:val="nil"/>
          <w:right w:val="nil"/>
          <w:between w:val="nil"/>
        </w:pBdr>
        <w:tabs>
          <w:tab w:val="left" w:pos="567"/>
        </w:tabs>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lastRenderedPageBreak/>
        <w:t xml:space="preserve">provide reports on the information at Paragraph 2.1.3 to the Relevant Authority in the format and frequency as reasonably specified by the Relevant Authority; and </w:t>
      </w:r>
    </w:p>
    <w:p w14:paraId="64CE0BCC" w14:textId="77777777" w:rsidR="006D3F52" w:rsidRPr="00CD239A" w:rsidRDefault="006D3F52" w:rsidP="0089755F">
      <w:pPr>
        <w:pBdr>
          <w:top w:val="nil"/>
          <w:left w:val="nil"/>
          <w:bottom w:val="nil"/>
          <w:right w:val="nil"/>
          <w:between w:val="nil"/>
        </w:pBdr>
        <w:tabs>
          <w:tab w:val="left" w:pos="567"/>
        </w:tabs>
        <w:spacing w:after="0"/>
        <w:ind w:left="1440"/>
        <w:rPr>
          <w:rFonts w:ascii="Arial" w:eastAsia="Arial" w:hAnsi="Arial" w:cs="Arial"/>
          <w:sz w:val="24"/>
          <w:szCs w:val="24"/>
        </w:rPr>
      </w:pPr>
    </w:p>
    <w:p w14:paraId="4FA781A7" w14:textId="77777777" w:rsidR="006D3F52" w:rsidRPr="00CD239A" w:rsidRDefault="006E2B47" w:rsidP="0089755F">
      <w:pPr>
        <w:numPr>
          <w:ilvl w:val="2"/>
          <w:numId w:val="2"/>
        </w:numPr>
        <w:pBdr>
          <w:top w:val="nil"/>
          <w:left w:val="nil"/>
          <w:bottom w:val="nil"/>
          <w:right w:val="nil"/>
          <w:between w:val="nil"/>
        </w:pBdr>
        <w:tabs>
          <w:tab w:val="left" w:pos="567"/>
        </w:tabs>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 xml:space="preserve">promote Contracts Finder to its suppliers and encourage those organisations to register on Contracts Finder. </w:t>
      </w:r>
    </w:p>
    <w:p w14:paraId="6825B6C3" w14:textId="77777777" w:rsidR="006D3F52" w:rsidRPr="00CD239A" w:rsidRDefault="006D3F52">
      <w:pPr>
        <w:pBdr>
          <w:top w:val="nil"/>
          <w:left w:val="nil"/>
          <w:bottom w:val="nil"/>
          <w:right w:val="nil"/>
          <w:between w:val="nil"/>
        </w:pBdr>
        <w:spacing w:after="0"/>
        <w:ind w:left="1080"/>
        <w:rPr>
          <w:rFonts w:ascii="Arial" w:eastAsia="Arial" w:hAnsi="Arial" w:cs="Arial"/>
          <w:color w:val="000000"/>
          <w:sz w:val="24"/>
          <w:szCs w:val="24"/>
        </w:rPr>
      </w:pPr>
    </w:p>
    <w:p w14:paraId="09E1418B"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Each advert referred to at Paragraph 2.1.1 of this Schedule 12 shall provide a full and detailed description of the Sub-Contract opportunity with each of the mandatory fields being completed on Contracts Finder by the Supplier. </w:t>
      </w:r>
    </w:p>
    <w:p w14:paraId="219C17C9" w14:textId="77777777" w:rsidR="006D3F52" w:rsidRPr="00CD239A" w:rsidRDefault="006D3F52" w:rsidP="0089755F">
      <w:pPr>
        <w:pBdr>
          <w:top w:val="nil"/>
          <w:left w:val="nil"/>
          <w:bottom w:val="nil"/>
          <w:right w:val="nil"/>
          <w:between w:val="nil"/>
        </w:pBdr>
        <w:spacing w:after="0"/>
        <w:ind w:left="567" w:hanging="567"/>
        <w:rPr>
          <w:rFonts w:ascii="Arial" w:eastAsia="Arial" w:hAnsi="Arial" w:cs="Arial"/>
          <w:color w:val="000000"/>
          <w:sz w:val="24"/>
          <w:szCs w:val="24"/>
        </w:rPr>
      </w:pPr>
    </w:p>
    <w:p w14:paraId="7C494CE3"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The obligation on the Supplier set out at Paragraph 2.1 shall only apply in respect of Sub-Contract opportunities arising after the Effective Date.</w:t>
      </w:r>
    </w:p>
    <w:p w14:paraId="23179CA0" w14:textId="77777777" w:rsidR="006D3F52" w:rsidRPr="00CD239A" w:rsidRDefault="006D3F52" w:rsidP="0089755F">
      <w:pPr>
        <w:pBdr>
          <w:top w:val="nil"/>
          <w:left w:val="nil"/>
          <w:bottom w:val="nil"/>
          <w:right w:val="nil"/>
          <w:between w:val="nil"/>
        </w:pBdr>
        <w:spacing w:after="0"/>
        <w:ind w:left="567" w:hanging="567"/>
        <w:rPr>
          <w:rFonts w:ascii="Arial" w:eastAsia="Arial" w:hAnsi="Arial" w:cs="Arial"/>
          <w:color w:val="000000"/>
          <w:sz w:val="24"/>
          <w:szCs w:val="24"/>
        </w:rPr>
      </w:pPr>
    </w:p>
    <w:p w14:paraId="5BE058DA"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Notwithstanding Paragraph 2.1, the Authority </w:t>
      </w:r>
      <w:r w:rsidRPr="00CD239A">
        <w:rPr>
          <w:rFonts w:ascii="Arial" w:eastAsia="Arial" w:hAnsi="Arial" w:cs="Arial"/>
          <w:sz w:val="24"/>
          <w:szCs w:val="24"/>
        </w:rPr>
        <w:t>may, by giving</w:t>
      </w:r>
      <w:r w:rsidRPr="00CD239A">
        <w:rPr>
          <w:rFonts w:ascii="Arial" w:eastAsia="Arial" w:hAnsi="Arial" w:cs="Arial"/>
          <w:color w:val="000000"/>
          <w:sz w:val="24"/>
          <w:szCs w:val="24"/>
        </w:rPr>
        <w:t xml:space="preserve"> its prior Approval, agree that a Sub-Contract opportunity is not required to be advertised by the Supplier on Contracts Finder.  </w:t>
      </w:r>
    </w:p>
    <w:p w14:paraId="48BD7BE9"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284775E2" w14:textId="77777777" w:rsidR="006D3F52" w:rsidRPr="00CD239A" w:rsidRDefault="006E2B47" w:rsidP="0089755F">
      <w:pPr>
        <w:numPr>
          <w:ilvl w:val="0"/>
          <w:numId w:val="2"/>
        </w:numPr>
        <w:pBdr>
          <w:top w:val="nil"/>
          <w:left w:val="nil"/>
          <w:bottom w:val="nil"/>
          <w:right w:val="nil"/>
          <w:between w:val="nil"/>
        </w:pBdr>
        <w:spacing w:after="0"/>
        <w:ind w:left="567" w:hanging="567"/>
        <w:rPr>
          <w:rFonts w:ascii="Arial" w:eastAsia="Arial" w:hAnsi="Arial" w:cs="Arial"/>
          <w:b/>
          <w:color w:val="000000"/>
          <w:sz w:val="24"/>
          <w:szCs w:val="24"/>
        </w:rPr>
      </w:pPr>
      <w:r w:rsidRPr="00CD239A">
        <w:rPr>
          <w:rFonts w:ascii="Arial" w:eastAsia="Arial" w:hAnsi="Arial" w:cs="Arial"/>
          <w:b/>
          <w:color w:val="000000"/>
          <w:sz w:val="24"/>
          <w:szCs w:val="24"/>
        </w:rPr>
        <w:t>Visibility of Supply Chain Spend</w:t>
      </w:r>
    </w:p>
    <w:p w14:paraId="58822994" w14:textId="77777777" w:rsidR="006D3F52" w:rsidRPr="00CD239A" w:rsidRDefault="006D3F52" w:rsidP="0089755F">
      <w:pPr>
        <w:pBdr>
          <w:top w:val="nil"/>
          <w:left w:val="nil"/>
          <w:bottom w:val="nil"/>
          <w:right w:val="nil"/>
          <w:between w:val="nil"/>
        </w:pBdr>
        <w:spacing w:after="0"/>
        <w:ind w:left="567" w:hanging="567"/>
        <w:rPr>
          <w:rFonts w:ascii="Arial" w:eastAsia="Arial" w:hAnsi="Arial" w:cs="Arial"/>
          <w:b/>
          <w:color w:val="000000"/>
          <w:sz w:val="24"/>
          <w:szCs w:val="24"/>
        </w:rPr>
      </w:pPr>
    </w:p>
    <w:p w14:paraId="148201BD" w14:textId="77777777" w:rsidR="006D3F52" w:rsidRPr="00CD239A" w:rsidRDefault="006E2B47" w:rsidP="0089755F">
      <w:pPr>
        <w:numPr>
          <w:ilvl w:val="1"/>
          <w:numId w:val="2"/>
        </w:numPr>
        <w:pBdr>
          <w:top w:val="nil"/>
          <w:left w:val="nil"/>
          <w:bottom w:val="nil"/>
          <w:right w:val="nil"/>
          <w:between w:val="nil"/>
        </w:pBdr>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5A896382" w14:textId="77777777" w:rsidR="006D3F52" w:rsidRPr="00CD239A" w:rsidRDefault="006E2B47" w:rsidP="0089755F">
      <w:pPr>
        <w:numPr>
          <w:ilvl w:val="0"/>
          <w:numId w:val="1"/>
        </w:numPr>
        <w:pBdr>
          <w:top w:val="nil"/>
          <w:left w:val="nil"/>
          <w:bottom w:val="nil"/>
          <w:right w:val="nil"/>
          <w:between w:val="nil"/>
        </w:pBdr>
        <w:spacing w:after="0" w:line="360" w:lineRule="auto"/>
        <w:ind w:left="1134" w:hanging="567"/>
        <w:jc w:val="both"/>
        <w:rPr>
          <w:rFonts w:ascii="Arial" w:eastAsia="Arial" w:hAnsi="Arial" w:cs="Arial"/>
          <w:color w:val="000000"/>
          <w:sz w:val="24"/>
          <w:szCs w:val="24"/>
        </w:rPr>
      </w:pPr>
      <w:r w:rsidRPr="00CD239A">
        <w:rPr>
          <w:rFonts w:ascii="Arial" w:eastAsia="Arial" w:hAnsi="Arial" w:cs="Arial"/>
          <w:color w:val="000000"/>
          <w:sz w:val="24"/>
          <w:szCs w:val="24"/>
        </w:rPr>
        <w:t>the total contract revenue received directly on the Contract;</w:t>
      </w:r>
    </w:p>
    <w:p w14:paraId="63BB66BD" w14:textId="77777777" w:rsidR="006D3F52" w:rsidRPr="00CD239A" w:rsidRDefault="006E2B47" w:rsidP="0089755F">
      <w:pPr>
        <w:numPr>
          <w:ilvl w:val="0"/>
          <w:numId w:val="1"/>
        </w:numPr>
        <w:pBdr>
          <w:top w:val="nil"/>
          <w:left w:val="nil"/>
          <w:bottom w:val="nil"/>
          <w:right w:val="nil"/>
          <w:between w:val="nil"/>
        </w:pBdr>
        <w:spacing w:after="0" w:line="360" w:lineRule="auto"/>
        <w:ind w:left="1134" w:hanging="567"/>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under the Contract (including revenues for non-SMEs/non-VCSEs); and</w:t>
      </w:r>
    </w:p>
    <w:p w14:paraId="27614BCF" w14:textId="77777777" w:rsidR="006D3F52" w:rsidRPr="00CD239A" w:rsidRDefault="006E2B47" w:rsidP="0089755F">
      <w:pPr>
        <w:numPr>
          <w:ilvl w:val="0"/>
          <w:numId w:val="1"/>
        </w:numPr>
        <w:pBdr>
          <w:top w:val="nil"/>
          <w:left w:val="nil"/>
          <w:bottom w:val="nil"/>
          <w:right w:val="nil"/>
          <w:between w:val="nil"/>
        </w:pBdr>
        <w:spacing w:after="0" w:line="360" w:lineRule="auto"/>
        <w:ind w:left="1134" w:hanging="567"/>
        <w:jc w:val="both"/>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to SMEs and VCSEs.</w:t>
      </w:r>
    </w:p>
    <w:p w14:paraId="5AA6144C" w14:textId="77777777" w:rsidR="006D3F52" w:rsidRPr="00CD239A" w:rsidRDefault="006D3F52">
      <w:pPr>
        <w:pBdr>
          <w:top w:val="nil"/>
          <w:left w:val="nil"/>
          <w:bottom w:val="nil"/>
          <w:right w:val="nil"/>
          <w:between w:val="nil"/>
        </w:pBdr>
        <w:spacing w:after="0" w:line="360" w:lineRule="auto"/>
        <w:jc w:val="both"/>
        <w:rPr>
          <w:rFonts w:ascii="Arial" w:eastAsia="Arial" w:hAnsi="Arial" w:cs="Arial"/>
          <w:color w:val="000000"/>
          <w:sz w:val="24"/>
          <w:szCs w:val="24"/>
        </w:rPr>
      </w:pPr>
    </w:p>
    <w:p w14:paraId="3065881E"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4223BEF0"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7060E76F" w14:textId="77777777"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14:paraId="509B7CE4"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7813227F" w14:textId="77777777" w:rsidR="006D3F52" w:rsidRPr="00CD239A" w:rsidRDefault="006D3F52">
      <w:pPr>
        <w:pBdr>
          <w:top w:val="nil"/>
          <w:left w:val="nil"/>
          <w:bottom w:val="nil"/>
          <w:right w:val="nil"/>
          <w:between w:val="nil"/>
        </w:pBdr>
        <w:ind w:left="720"/>
        <w:rPr>
          <w:rFonts w:ascii="Arial" w:eastAsia="Arial" w:hAnsi="Arial" w:cs="Arial"/>
          <w:color w:val="000000"/>
          <w:sz w:val="24"/>
          <w:szCs w:val="24"/>
        </w:rPr>
      </w:pPr>
    </w:p>
    <w:p w14:paraId="111F6304" w14:textId="77777777" w:rsidR="006D3F52" w:rsidRPr="00CD239A" w:rsidRDefault="006E2B47">
      <w:pPr>
        <w:rPr>
          <w:rFonts w:ascii="Arial" w:eastAsia="Arial" w:hAnsi="Arial" w:cs="Arial"/>
          <w:sz w:val="24"/>
          <w:szCs w:val="24"/>
        </w:rPr>
      </w:pPr>
      <w:r w:rsidRPr="00CD239A">
        <w:rPr>
          <w:rFonts w:ascii="Arial" w:hAnsi="Arial" w:cs="Arial"/>
        </w:rPr>
        <w:br w:type="page"/>
      </w:r>
    </w:p>
    <w:p w14:paraId="7C26541C" w14:textId="77777777" w:rsidR="006D3F52" w:rsidRPr="00CD239A" w:rsidRDefault="006D3F52">
      <w:pPr>
        <w:rPr>
          <w:rFonts w:ascii="Arial" w:eastAsia="Arial" w:hAnsi="Arial" w:cs="Arial"/>
          <w:sz w:val="24"/>
          <w:szCs w:val="24"/>
        </w:rPr>
      </w:pPr>
    </w:p>
    <w:p w14:paraId="6575B732" w14:textId="77777777"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Annex 1</w:t>
      </w:r>
    </w:p>
    <w:p w14:paraId="7001F146" w14:textId="77777777"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Supply Chain Information Report template</w:t>
      </w:r>
    </w:p>
    <w:p w14:paraId="1591EACA" w14:textId="77777777" w:rsidR="006D3F52" w:rsidRPr="00CD239A" w:rsidRDefault="006D3F52">
      <w:pPr>
        <w:rPr>
          <w:rFonts w:ascii="Arial" w:eastAsia="Arial" w:hAnsi="Arial" w:cs="Arial"/>
          <w:sz w:val="24"/>
          <w:szCs w:val="24"/>
        </w:rPr>
      </w:pPr>
    </w:p>
    <w:p w14:paraId="19E911A4" w14:textId="77777777" w:rsidR="006D3F52" w:rsidRPr="00CD239A" w:rsidRDefault="006D3F52">
      <w:pPr>
        <w:rPr>
          <w:rFonts w:ascii="Arial" w:hAnsi="Arial" w:cs="Arial"/>
        </w:rPr>
      </w:pPr>
    </w:p>
    <w:p w14:paraId="1D567448" w14:textId="77777777" w:rsidR="006D3F52" w:rsidRPr="00CD239A" w:rsidRDefault="006E2B47" w:rsidP="00CD239A">
      <w:pPr>
        <w:jc w:val="center"/>
        <w:rPr>
          <w:rFonts w:ascii="Arial" w:eastAsia="Arial" w:hAnsi="Arial" w:cs="Arial"/>
          <w:sz w:val="24"/>
          <w:szCs w:val="24"/>
        </w:rPr>
      </w:pPr>
      <w:r w:rsidRPr="00CD239A">
        <w:rPr>
          <w:rFonts w:ascii="Arial" w:eastAsia="Arial" w:hAnsi="Arial" w:cs="Arial"/>
          <w:sz w:val="24"/>
          <w:szCs w:val="24"/>
        </w:rPr>
        <w:object w:dxaOrig="2340" w:dyaOrig="1140" w14:anchorId="4CF76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5pt;height:56.95pt" o:ole="">
            <v:imagedata r:id="rId8" o:title=""/>
          </v:shape>
          <o:OLEObject Type="Embed" ProgID="Excel.Sheet.12" ShapeID="_x0000_i1025" DrawAspect="Icon" ObjectID="_1827567073" r:id="rId9"/>
        </w:object>
      </w:r>
    </w:p>
    <w:p w14:paraId="18B7AE5F" w14:textId="77777777" w:rsidR="006D3F52" w:rsidRPr="00CD239A" w:rsidRDefault="006D3F52">
      <w:pPr>
        <w:rPr>
          <w:rFonts w:ascii="Arial" w:eastAsia="Arial" w:hAnsi="Arial" w:cs="Arial"/>
          <w:sz w:val="24"/>
          <w:szCs w:val="24"/>
        </w:rPr>
      </w:pPr>
    </w:p>
    <w:p w14:paraId="59A93F89" w14:textId="77777777" w:rsidR="006D3F52" w:rsidRPr="00CD239A" w:rsidRDefault="006D3F52">
      <w:pPr>
        <w:rPr>
          <w:rFonts w:ascii="Arial" w:eastAsia="Arial" w:hAnsi="Arial" w:cs="Arial"/>
          <w:sz w:val="24"/>
          <w:szCs w:val="24"/>
        </w:rPr>
      </w:pPr>
    </w:p>
    <w:sectPr w:rsidR="006D3F52" w:rsidRPr="00CD239A">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468BA" w14:textId="77777777" w:rsidR="00A27F75" w:rsidRDefault="00A27F75">
      <w:pPr>
        <w:spacing w:after="0" w:line="240" w:lineRule="auto"/>
      </w:pPr>
      <w:r>
        <w:separator/>
      </w:r>
    </w:p>
  </w:endnote>
  <w:endnote w:type="continuationSeparator" w:id="0">
    <w:p w14:paraId="087DB7AF" w14:textId="77777777" w:rsidR="00A27F75" w:rsidRDefault="00A27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EAF59" w14:textId="77777777"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Framework Ref: RM6</w:t>
    </w:r>
    <w:r w:rsidRPr="00CD239A">
      <w:rPr>
        <w:rFonts w:ascii="Arial" w:eastAsia="Arial" w:hAnsi="Arial" w:cs="Arial"/>
        <w:sz w:val="20"/>
      </w:rPr>
      <w:t>232</w:t>
    </w:r>
  </w:p>
  <w:p w14:paraId="0029E44B" w14:textId="77777777"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Project Version: 1.0</w:t>
    </w:r>
    <w:r w:rsidR="00CD239A">
      <w:rPr>
        <w:rFonts w:ascii="Arial" w:eastAsia="Arial" w:hAnsi="Arial" w:cs="Arial"/>
        <w:color w:val="000000"/>
        <w:sz w:val="20"/>
      </w:rPr>
      <w:tab/>
    </w:r>
    <w:r w:rsidR="00CD239A">
      <w:rPr>
        <w:rFonts w:ascii="Arial" w:eastAsia="Arial" w:hAnsi="Arial" w:cs="Arial"/>
        <w:color w:val="000000"/>
        <w:sz w:val="20"/>
      </w:rPr>
      <w:tab/>
    </w:r>
    <w:r w:rsidR="00CD239A" w:rsidRPr="00CD239A">
      <w:rPr>
        <w:rFonts w:ascii="Arial" w:eastAsia="Arial" w:hAnsi="Arial" w:cs="Arial"/>
        <w:color w:val="000000"/>
        <w:sz w:val="20"/>
      </w:rPr>
      <w:fldChar w:fldCharType="begin"/>
    </w:r>
    <w:r w:rsidR="00CD239A" w:rsidRPr="00CD239A">
      <w:rPr>
        <w:rFonts w:ascii="Arial" w:eastAsia="Arial" w:hAnsi="Arial" w:cs="Arial"/>
        <w:color w:val="000000"/>
        <w:sz w:val="20"/>
      </w:rPr>
      <w:instrText xml:space="preserve"> PAGE   \* MERGEFORMAT </w:instrText>
    </w:r>
    <w:r w:rsidR="00CD239A" w:rsidRPr="00CD239A">
      <w:rPr>
        <w:rFonts w:ascii="Arial" w:eastAsia="Arial" w:hAnsi="Arial" w:cs="Arial"/>
        <w:color w:val="000000"/>
        <w:sz w:val="20"/>
      </w:rPr>
      <w:fldChar w:fldCharType="separate"/>
    </w:r>
    <w:r w:rsidR="00CD239A" w:rsidRPr="00CD239A">
      <w:rPr>
        <w:rFonts w:ascii="Arial" w:eastAsia="Arial" w:hAnsi="Arial" w:cs="Arial"/>
        <w:noProof/>
        <w:color w:val="000000"/>
        <w:sz w:val="20"/>
      </w:rPr>
      <w:t>1</w:t>
    </w:r>
    <w:r w:rsidR="00CD239A" w:rsidRPr="00CD239A">
      <w:rPr>
        <w:rFonts w:ascii="Arial" w:eastAsia="Arial" w:hAnsi="Arial" w:cs="Arial"/>
        <w:noProof/>
        <w:color w:val="000000"/>
        <w:sz w:val="20"/>
      </w:rPr>
      <w:fldChar w:fldCharType="end"/>
    </w:r>
  </w:p>
  <w:p w14:paraId="6227C77E" w14:textId="77777777"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C75FA" w14:textId="77777777" w:rsidR="00A27F75" w:rsidRDefault="00A27F75">
      <w:pPr>
        <w:spacing w:after="0" w:line="240" w:lineRule="auto"/>
      </w:pPr>
      <w:r>
        <w:separator/>
      </w:r>
    </w:p>
  </w:footnote>
  <w:footnote w:type="continuationSeparator" w:id="0">
    <w:p w14:paraId="10255B87" w14:textId="77777777" w:rsidR="00A27F75" w:rsidRDefault="00A27F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95B3" w14:textId="77777777" w:rsidR="006D3F52" w:rsidRPr="00CD239A" w:rsidRDefault="006E2B4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CD239A">
      <w:rPr>
        <w:rFonts w:ascii="Arial" w:eastAsia="Arial" w:hAnsi="Arial" w:cs="Arial"/>
        <w:b/>
        <w:color w:val="000000"/>
        <w:sz w:val="20"/>
        <w:szCs w:val="20"/>
      </w:rPr>
      <w:t>Joint Schedule 12 (Supply Chain Visibility)</w:t>
    </w:r>
  </w:p>
  <w:p w14:paraId="5B6BD91B" w14:textId="77777777" w:rsidR="006D3F52" w:rsidRPr="00CD239A" w:rsidRDefault="006E2B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CD239A">
      <w:rPr>
        <w:rFonts w:ascii="Arial" w:eastAsia="Arial" w:hAnsi="Arial" w:cs="Arial"/>
        <w:color w:val="000000"/>
        <w:sz w:val="20"/>
        <w:szCs w:val="20"/>
      </w:rPr>
      <w:t>Crown Copyright 20</w:t>
    </w:r>
    <w:r w:rsidRPr="00CD239A">
      <w:rPr>
        <w:rFonts w:ascii="Arial" w:eastAsia="Arial" w:hAnsi="Arial" w:cs="Arial"/>
        <w:sz w:val="20"/>
        <w:szCs w:val="20"/>
      </w:rPr>
      <w:t>21</w:t>
    </w:r>
  </w:p>
  <w:p w14:paraId="5374BBEC" w14:textId="77777777" w:rsidR="006D3F52" w:rsidRDefault="006D3F5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35C48"/>
    <w:multiLevelType w:val="multilevel"/>
    <w:tmpl w:val="02C6BDB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A2F458E"/>
    <w:multiLevelType w:val="multilevel"/>
    <w:tmpl w:val="41FCD984"/>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E602F87"/>
    <w:multiLevelType w:val="multilevel"/>
    <w:tmpl w:val="2D0232E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52"/>
    <w:rsid w:val="00055E33"/>
    <w:rsid w:val="003061D4"/>
    <w:rsid w:val="003854A4"/>
    <w:rsid w:val="0056498A"/>
    <w:rsid w:val="00586F01"/>
    <w:rsid w:val="006D3F52"/>
    <w:rsid w:val="006E2B47"/>
    <w:rsid w:val="007241C0"/>
    <w:rsid w:val="0089755F"/>
    <w:rsid w:val="008F254D"/>
    <w:rsid w:val="00940F45"/>
    <w:rsid w:val="00A27F75"/>
    <w:rsid w:val="00CD239A"/>
    <w:rsid w:val="00DC55DA"/>
    <w:rsid w:val="00FC7F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0E465"/>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BodyTextBold">
    <w:name w:val="Std Body Text Bold"/>
    <w:basedOn w:val="Normal"/>
    <w:next w:val="Normal"/>
    <w:link w:val="StdBodyTextBoldChar"/>
    <w:qFormat/>
    <w:rsid w:val="00F40557"/>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F40557"/>
    <w:rPr>
      <w:rFonts w:ascii="Arial" w:eastAsia="Times New Roman" w:hAnsi="Arial" w:cs="Times New Roman"/>
      <w:b/>
      <w:sz w:val="24"/>
      <w:szCs w:val="24"/>
      <w:lang w:eastAsia="en-GB"/>
    </w:rPr>
  </w:style>
  <w:style w:type="paragraph" w:customStyle="1" w:styleId="Level1">
    <w:name w:val="Level 1"/>
    <w:basedOn w:val="Normal"/>
    <w:next w:val="Normal"/>
    <w:qFormat/>
    <w:rsid w:val="00F40557"/>
    <w:pPr>
      <w:numPr>
        <w:numId w:val="3"/>
      </w:numPr>
      <w:tabs>
        <w:tab w:val="left" w:pos="720"/>
      </w:tabs>
      <w:spacing w:before="100" w:line="240" w:lineRule="auto"/>
    </w:pPr>
    <w:rPr>
      <w:rFonts w:ascii="Arial" w:eastAsia="Times New Roman" w:hAnsi="Arial" w:cs="Times New Roman"/>
      <w:b/>
      <w:sz w:val="24"/>
      <w:szCs w:val="24"/>
      <w:u w:val="single"/>
    </w:rPr>
  </w:style>
  <w:style w:type="paragraph" w:customStyle="1" w:styleId="Level2">
    <w:name w:val="Level 2"/>
    <w:basedOn w:val="Level1"/>
    <w:next w:val="Normal"/>
    <w:rsid w:val="00F40557"/>
    <w:pPr>
      <w:numPr>
        <w:ilvl w:val="1"/>
      </w:numPr>
    </w:pPr>
    <w:rPr>
      <w:b w:val="0"/>
      <w:u w:val="none"/>
    </w:rPr>
  </w:style>
  <w:style w:type="paragraph" w:customStyle="1" w:styleId="Level3">
    <w:name w:val="Level 3"/>
    <w:basedOn w:val="Level2"/>
    <w:next w:val="Normal"/>
    <w:rsid w:val="00F40557"/>
    <w:pPr>
      <w:numPr>
        <w:ilvl w:val="2"/>
      </w:numPr>
      <w:tabs>
        <w:tab w:val="left" w:pos="1803"/>
      </w:tabs>
    </w:pPr>
  </w:style>
  <w:style w:type="paragraph" w:customStyle="1" w:styleId="Level4">
    <w:name w:val="Level 4"/>
    <w:basedOn w:val="Level3"/>
    <w:next w:val="Normal"/>
    <w:rsid w:val="00F40557"/>
    <w:pPr>
      <w:numPr>
        <w:ilvl w:val="3"/>
      </w:numPr>
    </w:pPr>
  </w:style>
  <w:style w:type="paragraph" w:customStyle="1" w:styleId="Level5">
    <w:name w:val="Level 5"/>
    <w:basedOn w:val="Level4"/>
    <w:next w:val="Normal"/>
    <w:rsid w:val="00F40557"/>
    <w:pPr>
      <w:numPr>
        <w:ilvl w:val="4"/>
      </w:numPr>
      <w:tabs>
        <w:tab w:val="left" w:pos="2523"/>
      </w:tabs>
    </w:pPr>
  </w:style>
  <w:style w:type="paragraph" w:customStyle="1" w:styleId="Level6">
    <w:name w:val="Level 6"/>
    <w:basedOn w:val="Level5"/>
    <w:rsid w:val="00F40557"/>
    <w:pPr>
      <w:numPr>
        <w:ilvl w:val="5"/>
      </w:numPr>
      <w:tabs>
        <w:tab w:val="clear" w:pos="2523"/>
      </w:tabs>
    </w:pPr>
  </w:style>
  <w:style w:type="paragraph" w:customStyle="1" w:styleId="AppendixText1">
    <w:name w:val="Appendix Text 1"/>
    <w:basedOn w:val="Normal"/>
    <w:rsid w:val="00F40557"/>
    <w:pPr>
      <w:tabs>
        <w:tab w:val="num" w:pos="720"/>
      </w:tabs>
      <w:ind w:left="720" w:hanging="720"/>
    </w:pPr>
  </w:style>
  <w:style w:type="paragraph" w:customStyle="1" w:styleId="AppendixText2">
    <w:name w:val="Appendix Text 2"/>
    <w:basedOn w:val="Normal"/>
    <w:rsid w:val="00F40557"/>
    <w:pPr>
      <w:tabs>
        <w:tab w:val="num" w:pos="1440"/>
      </w:tabs>
      <w:ind w:left="1440" w:hanging="720"/>
    </w:pPr>
  </w:style>
  <w:style w:type="paragraph" w:customStyle="1" w:styleId="AppendixText3">
    <w:name w:val="Appendix Text 3"/>
    <w:basedOn w:val="Normal"/>
    <w:rsid w:val="00F40557"/>
    <w:pPr>
      <w:tabs>
        <w:tab w:val="num" w:pos="2160"/>
      </w:tabs>
      <w:ind w:left="2160" w:hanging="720"/>
    </w:pPr>
  </w:style>
  <w:style w:type="paragraph" w:customStyle="1" w:styleId="AppendixText4">
    <w:name w:val="Appendix Text 4"/>
    <w:basedOn w:val="Normal"/>
    <w:rsid w:val="00F40557"/>
    <w:pPr>
      <w:tabs>
        <w:tab w:val="num" w:pos="2880"/>
      </w:tabs>
      <w:ind w:left="2880" w:hanging="720"/>
    </w:pPr>
  </w:style>
  <w:style w:type="paragraph" w:customStyle="1" w:styleId="AppendixText5">
    <w:name w:val="Appendix Text 5"/>
    <w:basedOn w:val="Normal"/>
    <w:rsid w:val="00F40557"/>
    <w:pPr>
      <w:tabs>
        <w:tab w:val="num" w:pos="3600"/>
      </w:tabs>
      <w:ind w:left="3600" w:hanging="720"/>
    </w:pPr>
  </w:style>
  <w:style w:type="paragraph" w:customStyle="1" w:styleId="AppendixText6">
    <w:name w:val="Appendix Text 6"/>
    <w:basedOn w:val="Normal"/>
    <w:rsid w:val="00F40557"/>
    <w:pPr>
      <w:tabs>
        <w:tab w:val="num" w:pos="4320"/>
      </w:tabs>
      <w:ind w:left="4320" w:hanging="720"/>
    </w:pPr>
  </w:style>
  <w:style w:type="character" w:styleId="CommentReference">
    <w:name w:val="annotation reference"/>
    <w:basedOn w:val="DefaultParagraphFont"/>
    <w:uiPriority w:val="99"/>
    <w:semiHidden/>
    <w:unhideWhenUsed/>
    <w:rsid w:val="00F40557"/>
    <w:rPr>
      <w:sz w:val="16"/>
      <w:szCs w:val="16"/>
    </w:rPr>
  </w:style>
  <w:style w:type="paragraph" w:styleId="CommentText">
    <w:name w:val="annotation text"/>
    <w:basedOn w:val="Normal"/>
    <w:link w:val="CommentTextChar"/>
    <w:uiPriority w:val="99"/>
    <w:semiHidden/>
    <w:unhideWhenUsed/>
    <w:rsid w:val="00F40557"/>
    <w:pPr>
      <w:spacing w:line="240" w:lineRule="auto"/>
    </w:pPr>
    <w:rPr>
      <w:sz w:val="20"/>
      <w:szCs w:val="20"/>
    </w:rPr>
  </w:style>
  <w:style w:type="character" w:customStyle="1" w:styleId="CommentTextChar">
    <w:name w:val="Comment Text Char"/>
    <w:basedOn w:val="DefaultParagraphFont"/>
    <w:link w:val="CommentText"/>
    <w:uiPriority w:val="99"/>
    <w:semiHidden/>
    <w:rsid w:val="00F40557"/>
    <w:rPr>
      <w:sz w:val="20"/>
      <w:szCs w:val="20"/>
    </w:rPr>
  </w:style>
  <w:style w:type="paragraph" w:styleId="CommentSubject">
    <w:name w:val="annotation subject"/>
    <w:basedOn w:val="CommentText"/>
    <w:next w:val="CommentText"/>
    <w:link w:val="CommentSubjectChar"/>
    <w:uiPriority w:val="99"/>
    <w:semiHidden/>
    <w:unhideWhenUsed/>
    <w:rsid w:val="00F40557"/>
    <w:rPr>
      <w:b/>
      <w:bCs/>
    </w:rPr>
  </w:style>
  <w:style w:type="character" w:customStyle="1" w:styleId="CommentSubjectChar">
    <w:name w:val="Comment Subject Char"/>
    <w:basedOn w:val="CommentTextChar"/>
    <w:link w:val="CommentSubject"/>
    <w:uiPriority w:val="99"/>
    <w:semiHidden/>
    <w:rsid w:val="00F40557"/>
    <w:rPr>
      <w:b/>
      <w:bCs/>
      <w:sz w:val="20"/>
      <w:szCs w:val="20"/>
    </w:rPr>
  </w:style>
  <w:style w:type="paragraph" w:styleId="BalloonText">
    <w:name w:val="Balloon Text"/>
    <w:basedOn w:val="Normal"/>
    <w:link w:val="BalloonTextChar"/>
    <w:uiPriority w:val="99"/>
    <w:semiHidden/>
    <w:unhideWhenUsed/>
    <w:rsid w:val="00F40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557"/>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C9V0QtFtB11vG3hx3hR4dUI3Q==">AMUW2mWelfQrsDgPtiDMHMur2qcFkefQfalsLbxAENae6LAHpVj/w2CpuciIGmrQehZYrQQ7PxT6f1ugU7IKyGkbOfy9L3/SBw1Orrvg8GZ4SOQdBWTYnMc+5FzsAS5qZ+hSaXHk+LDyRMKUeshRuZD+TcroqwQHuw==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48E4A58-6135-4780-9D1A-455191F25B13}"/>
</file>

<file path=customXml/itemProps3.xml><?xml version="1.0" encoding="utf-8"?>
<ds:datastoreItem xmlns:ds="http://schemas.openxmlformats.org/officeDocument/2006/customXml" ds:itemID="{41B6D830-725E-46A3-8C87-B822AC772A64}"/>
</file>

<file path=customXml/itemProps4.xml><?xml version="1.0" encoding="utf-8"?>
<ds:datastoreItem xmlns:ds="http://schemas.openxmlformats.org/officeDocument/2006/customXml" ds:itemID="{464C2B27-FC7A-44A4-85A1-610688A76062}"/>
</file>

<file path=docProps/app.xml><?xml version="1.0" encoding="utf-8"?>
<Properties xmlns="http://schemas.openxmlformats.org/officeDocument/2006/extended-properties" xmlns:vt="http://schemas.openxmlformats.org/officeDocument/2006/docPropsVTypes">
  <Template>Normal</Template>
  <TotalTime>1</TotalTime>
  <Pages>4</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Tracy Starr</cp:lastModifiedBy>
  <cp:revision>5</cp:revision>
  <dcterms:created xsi:type="dcterms:W3CDTF">2025-03-26T12:38:00Z</dcterms:created>
  <dcterms:modified xsi:type="dcterms:W3CDTF">2025-12-18T12:45:00Z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ies>
</file>